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1E" w:rsidRDefault="00766B1E">
      <w:pPr>
        <w:rPr>
          <w:rFonts w:ascii="Tahoma" w:hAnsi="Tahoma" w:cs="Tahoma"/>
          <w:b/>
          <w:color w:val="808080"/>
          <w:sz w:val="20"/>
          <w:szCs w:val="20"/>
          <w:lang w:val="tr-TR"/>
        </w:rPr>
      </w:pPr>
    </w:p>
    <w:p w:rsidR="001F4149" w:rsidRDefault="001F4149">
      <w:pPr>
        <w:rPr>
          <w:rFonts w:ascii="Tahoma" w:hAnsi="Tahoma" w:cs="Tahoma"/>
          <w:b/>
          <w:color w:val="808080"/>
          <w:sz w:val="20"/>
          <w:szCs w:val="20"/>
          <w:lang w:val="tr-TR"/>
        </w:rPr>
      </w:pPr>
    </w:p>
    <w:p w:rsidR="001F4149" w:rsidRPr="00F76B92" w:rsidRDefault="001F4149">
      <w:pPr>
        <w:rPr>
          <w:rFonts w:ascii="Tahoma" w:hAnsi="Tahoma" w:cs="Tahoma"/>
          <w:b/>
          <w:color w:val="808080"/>
          <w:sz w:val="20"/>
          <w:szCs w:val="20"/>
          <w:lang w:val="tr-TR"/>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242"/>
        <w:gridCol w:w="1701"/>
        <w:gridCol w:w="4853"/>
      </w:tblGrid>
      <w:tr w:rsidR="001F4149" w:rsidRPr="00F76B92" w:rsidTr="00F76B92">
        <w:trPr>
          <w:trHeight w:val="300"/>
        </w:trPr>
        <w:tc>
          <w:tcPr>
            <w:tcW w:w="2836" w:type="dxa"/>
            <w:tcBorders>
              <w:top w:val="single" w:sz="12" w:space="0" w:color="auto"/>
              <w:left w:val="single" w:sz="12" w:space="0" w:color="auto"/>
              <w:bottom w:val="single" w:sz="12" w:space="0" w:color="auto"/>
              <w:right w:val="single" w:sz="12" w:space="0" w:color="auto"/>
            </w:tcBorders>
            <w:vAlign w:val="center"/>
          </w:tcPr>
          <w:p w:rsidR="001F4149" w:rsidRPr="00F76B92" w:rsidRDefault="001F4149" w:rsidP="005A6716">
            <w:pPr>
              <w:jc w:val="center"/>
              <w:rPr>
                <w:rFonts w:ascii="Tahoma" w:hAnsi="Tahoma" w:cs="Tahoma"/>
                <w:b/>
                <w:color w:val="000000"/>
                <w:sz w:val="20"/>
                <w:szCs w:val="20"/>
                <w:lang w:eastAsia="tr-TR"/>
              </w:rPr>
            </w:pPr>
            <w:r w:rsidRPr="00F76B92">
              <w:rPr>
                <w:rFonts w:ascii="Tahoma" w:hAnsi="Tahoma" w:cs="Tahoma"/>
                <w:b/>
                <w:color w:val="000000"/>
                <w:sz w:val="20"/>
                <w:szCs w:val="20"/>
                <w:lang w:eastAsia="tr-TR"/>
              </w:rPr>
              <w:t>Eylem</w:t>
            </w:r>
          </w:p>
        </w:tc>
        <w:tc>
          <w:tcPr>
            <w:tcW w:w="124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F4149" w:rsidRPr="00F76B92" w:rsidRDefault="001F4149" w:rsidP="005A6716">
            <w:pPr>
              <w:jc w:val="center"/>
              <w:rPr>
                <w:rFonts w:ascii="Tahoma" w:hAnsi="Tahoma" w:cs="Tahoma"/>
                <w:b/>
                <w:color w:val="000000"/>
                <w:sz w:val="20"/>
                <w:szCs w:val="20"/>
                <w:lang w:eastAsia="tr-TR"/>
              </w:rPr>
            </w:pPr>
            <w:r w:rsidRPr="00F76B92">
              <w:rPr>
                <w:rFonts w:ascii="Tahoma" w:hAnsi="Tahoma" w:cs="Tahoma"/>
                <w:b/>
                <w:color w:val="000000"/>
                <w:sz w:val="20"/>
                <w:szCs w:val="20"/>
                <w:lang w:eastAsia="tr-TR"/>
              </w:rPr>
              <w:t>Eylemden Sorumlu Kurum</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F4149" w:rsidRPr="00F76B92" w:rsidRDefault="001F4149" w:rsidP="005A6716">
            <w:pPr>
              <w:jc w:val="center"/>
              <w:rPr>
                <w:rFonts w:ascii="Tahoma" w:hAnsi="Tahoma" w:cs="Tahoma"/>
                <w:b/>
                <w:color w:val="000000"/>
                <w:sz w:val="20"/>
                <w:szCs w:val="20"/>
                <w:lang w:eastAsia="tr-TR"/>
              </w:rPr>
            </w:pPr>
            <w:r w:rsidRPr="00F76B92">
              <w:rPr>
                <w:rFonts w:ascii="Tahoma" w:hAnsi="Tahoma" w:cs="Tahoma"/>
                <w:b/>
                <w:color w:val="000000"/>
                <w:sz w:val="20"/>
                <w:szCs w:val="20"/>
                <w:lang w:eastAsia="tr-TR"/>
              </w:rPr>
              <w:t>Eylemin Başlangıç ve Bitiş Tarihi</w:t>
            </w:r>
          </w:p>
        </w:tc>
        <w:tc>
          <w:tcPr>
            <w:tcW w:w="485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F4149" w:rsidRPr="00F76B92" w:rsidRDefault="001F4149" w:rsidP="005A6716">
            <w:pPr>
              <w:jc w:val="center"/>
              <w:rPr>
                <w:rFonts w:ascii="Tahoma" w:hAnsi="Tahoma" w:cs="Tahoma"/>
                <w:b/>
                <w:color w:val="000000"/>
                <w:sz w:val="20"/>
                <w:szCs w:val="20"/>
                <w:lang w:eastAsia="tr-TR"/>
              </w:rPr>
            </w:pPr>
            <w:r w:rsidRPr="00F76B92">
              <w:rPr>
                <w:rFonts w:ascii="Tahoma" w:hAnsi="Tahoma" w:cs="Tahoma"/>
                <w:b/>
                <w:color w:val="000000"/>
                <w:sz w:val="20"/>
                <w:szCs w:val="20"/>
                <w:lang w:eastAsia="tr-TR"/>
              </w:rPr>
              <w:t>Eyleme İlişkin Açıklama</w:t>
            </w:r>
          </w:p>
        </w:tc>
      </w:tr>
      <w:tr w:rsidR="001F4149" w:rsidRPr="00F76B92" w:rsidTr="00F76B92">
        <w:trPr>
          <w:trHeight w:val="300"/>
        </w:trPr>
        <w:tc>
          <w:tcPr>
            <w:tcW w:w="10632" w:type="dxa"/>
            <w:gridSpan w:val="4"/>
            <w:tcBorders>
              <w:top w:val="single" w:sz="12" w:space="0" w:color="auto"/>
              <w:left w:val="single" w:sz="12" w:space="0" w:color="auto"/>
              <w:bottom w:val="single" w:sz="12" w:space="0" w:color="auto"/>
              <w:right w:val="single" w:sz="12" w:space="0" w:color="auto"/>
            </w:tcBorders>
            <w:shd w:val="clear" w:color="auto" w:fill="BFBFBF"/>
          </w:tcPr>
          <w:p w:rsidR="001F4149" w:rsidRPr="00F76B92" w:rsidRDefault="001F4149" w:rsidP="005A6716">
            <w:pPr>
              <w:jc w:val="center"/>
              <w:rPr>
                <w:rFonts w:ascii="Tahoma" w:hAnsi="Tahoma" w:cs="Tahoma"/>
                <w:b/>
                <w:color w:val="000000"/>
                <w:sz w:val="20"/>
                <w:szCs w:val="20"/>
                <w:lang w:eastAsia="tr-TR"/>
              </w:rPr>
            </w:pPr>
            <w:r w:rsidRPr="00F76B92">
              <w:rPr>
                <w:rFonts w:ascii="Tahoma" w:hAnsi="Tahoma" w:cs="Tahoma"/>
                <w:b/>
                <w:sz w:val="20"/>
                <w:szCs w:val="20"/>
              </w:rPr>
              <w:t>3 AY İÇERİSİNDE (21 Aralık-21 Mart 2015)  YAPILACAKLAR</w:t>
            </w:r>
          </w:p>
        </w:tc>
      </w:tr>
      <w:tr w:rsidR="001F4149" w:rsidRPr="00F76B92" w:rsidTr="00F76B92">
        <w:trPr>
          <w:trHeight w:val="567"/>
        </w:trPr>
        <w:tc>
          <w:tcPr>
            <w:tcW w:w="2836" w:type="dxa"/>
            <w:tcBorders>
              <w:top w:val="single" w:sz="12" w:space="0" w:color="auto"/>
            </w:tcBorders>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İmar planı değişiklikleri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sonucunda ortaya çıkan değer artışından kamunun pay alması sağlanacak</w:t>
            </w:r>
          </w:p>
        </w:tc>
        <w:tc>
          <w:tcPr>
            <w:tcW w:w="1242" w:type="dxa"/>
            <w:tcBorders>
              <w:top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tc>
        <w:tc>
          <w:tcPr>
            <w:tcW w:w="1701" w:type="dxa"/>
            <w:tcBorders>
              <w:top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21 Mart 2016</w:t>
            </w:r>
          </w:p>
        </w:tc>
        <w:tc>
          <w:tcPr>
            <w:tcW w:w="4853" w:type="dxa"/>
            <w:tcBorders>
              <w:top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İmar planı değişiklikleri sonucunda ortaya çıkan değer artışının belli bir oranının kamu payı olarak tahsil edilmesini sağlayacak mevzuat çalışması yapılacaktır.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İmalat sanayii makine-teçhizat yatırımlarının finansmanında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Banka ve Sigorta Muameleleri Vergisi (BSMV) istisnası</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getirilecek</w:t>
            </w:r>
          </w:p>
        </w:tc>
        <w:tc>
          <w:tcPr>
            <w:tcW w:w="1242" w:type="dxa"/>
            <w:shd w:val="clear" w:color="auto" w:fill="auto"/>
            <w:noWrap/>
            <w:vAlign w:val="center"/>
            <w:hideMark/>
          </w:tcPr>
          <w:p w:rsidR="001F4149" w:rsidRPr="00F76B92" w:rsidRDefault="001F4149" w:rsidP="005A6716">
            <w:pPr>
              <w:rPr>
                <w:rFonts w:ascii="Tahoma" w:hAnsi="Tahoma" w:cs="Tahoma"/>
                <w:sz w:val="20"/>
                <w:szCs w:val="20"/>
              </w:rPr>
            </w:pPr>
            <w:r w:rsidRPr="00F76B92">
              <w:rPr>
                <w:rFonts w:ascii="Tahoma" w:hAnsi="Tahoma" w:cs="Tahoma"/>
                <w:sz w:val="20"/>
                <w:szCs w:val="20"/>
              </w:rPr>
              <w:t>Maliye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 xml:space="preserve">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21 Mart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İmar planı değişiklikleri sonucunda ortaya çıkan değer artışının belli bir oranının kamu payı olarak tahsil edilmesini sağlayacak mevzuat çalışması yapılacaktır.</w:t>
            </w:r>
          </w:p>
        </w:tc>
      </w:tr>
      <w:tr w:rsidR="001F4149" w:rsidRPr="00F76B92" w:rsidTr="00F76B92">
        <w:trPr>
          <w:trHeight w:val="567"/>
        </w:trPr>
        <w:tc>
          <w:tcPr>
            <w:tcW w:w="2836" w:type="dxa"/>
            <w:tcBorders>
              <w:bottom w:val="single" w:sz="12" w:space="0" w:color="auto"/>
            </w:tcBorders>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Ticaretin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Kolaylaştırılmasına ilişkin anlaşma TBMM’nin onayına</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sunulacak</w:t>
            </w:r>
          </w:p>
        </w:tc>
        <w:tc>
          <w:tcPr>
            <w:tcW w:w="1242" w:type="dxa"/>
            <w:tcBorders>
              <w:bottom w:val="single" w:sz="12" w:space="0" w:color="auto"/>
            </w:tcBorders>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Ekonomi Bakanlığı</w:t>
            </w:r>
          </w:p>
        </w:tc>
        <w:tc>
          <w:tcPr>
            <w:tcW w:w="1701" w:type="dxa"/>
            <w:tcBorders>
              <w:bottom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21 Mart 2016</w:t>
            </w:r>
          </w:p>
        </w:tc>
        <w:tc>
          <w:tcPr>
            <w:tcW w:w="4853" w:type="dxa"/>
            <w:tcBorders>
              <w:bottom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Ülkemiz ihracatçısının üçüncü ülke pazarlarında karşılaştığı gümrük işlemleri ve bunların ortaya çıkardığı maliyetlerin asgariye indirilmesini amaçlayan Ticaretin Kolaylaştırılması Anlaşması ülkemizin taraf olduğu bir Dünya Ticaret Örgütü anlaşmasıdır. Anlaşmanın onaylanarak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iç hukukun bir parçası haline getirilmesiyle prosedürlerin basitleştirilmesinin yanında, bilgi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teknolojileri ve otomasyonun uygulanması yoluyla dış ticaret ve lojistik altyapısının güçlendirilmesi amaçlanmaktadır.</w:t>
            </w:r>
          </w:p>
        </w:tc>
      </w:tr>
      <w:tr w:rsidR="001F4149" w:rsidRPr="00F76B92" w:rsidTr="00F76B92">
        <w:trPr>
          <w:trHeight w:val="567"/>
        </w:trPr>
        <w:tc>
          <w:tcPr>
            <w:tcW w:w="10632"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1F4149" w:rsidRPr="00F76B92" w:rsidRDefault="001F4149" w:rsidP="005A6716">
            <w:pPr>
              <w:jc w:val="center"/>
              <w:rPr>
                <w:rFonts w:ascii="Tahoma" w:hAnsi="Tahoma" w:cs="Tahoma"/>
                <w:b/>
                <w:sz w:val="20"/>
                <w:szCs w:val="20"/>
              </w:rPr>
            </w:pPr>
            <w:r w:rsidRPr="00F76B92">
              <w:rPr>
                <w:rFonts w:ascii="Tahoma" w:hAnsi="Tahoma" w:cs="Tahoma"/>
                <w:b/>
                <w:sz w:val="20"/>
                <w:szCs w:val="20"/>
              </w:rPr>
              <w:t>6 AY İÇERİSİNDE (21 Aralık 2015-21 Haziran 2015) YAPILACAKLAR</w:t>
            </w:r>
          </w:p>
        </w:tc>
      </w:tr>
      <w:tr w:rsidR="001F4149" w:rsidRPr="00F76B92" w:rsidTr="00F76B92">
        <w:trPr>
          <w:trHeight w:val="567"/>
        </w:trPr>
        <w:tc>
          <w:tcPr>
            <w:tcW w:w="2836" w:type="dxa"/>
            <w:tcBorders>
              <w:top w:val="single" w:sz="12" w:space="0" w:color="auto"/>
            </w:tcBorders>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Elektronik ticaret</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geliştirilecek</w:t>
            </w:r>
          </w:p>
        </w:tc>
        <w:tc>
          <w:tcPr>
            <w:tcW w:w="1242" w:type="dxa"/>
            <w:tcBorders>
              <w:top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Gümrük ve Ticaret</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Bakanlığı</w:t>
            </w:r>
          </w:p>
        </w:tc>
        <w:tc>
          <w:tcPr>
            <w:tcW w:w="1701" w:type="dxa"/>
            <w:tcBorders>
              <w:top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tcBorders>
              <w:top w:val="single" w:sz="12" w:space="0" w:color="auto"/>
            </w:tcBorders>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E-ticaretin geliştirilmesine ve önündeki mevzuat engellerinin kaldırılmasına yönelik çalışmalar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çerçevesinde, ilgili kamu kurum ve kuruluşları ile sivil toplum kuruluşlarının katılımıyla bir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yapı oluşturulacak, e-ticarette güven tesis edilebilmesini teminen güven damgası sistemi kurulacak ve e-ticaretin gelişiminin sağlıklı bir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şekilde izlenebilmesini sağlamak için izleme ve değerlendirme sistemi teşkil edilecektir.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Vergi beyannameleri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ile sosyal güvenli  bildirgeleri</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birleştirilecek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Maliye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Mükellefler tarafından vergi dairelerine verilen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beyannameler ile Sosyal Güvenlik Kurumuna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verilen bildirgeler tek bir platform üzerinden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birleştirilecek, bu sayede beyanname sayısı</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azaltılacaktır.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lastRenderedPageBreak/>
              <w:t>Gelir ve kurumlar vergisi kanunları birleştirilerek yeni</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Gelir Vergisi Kanunu çıkarılacak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Maliye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Kamu finansmanını sağlam temellere dayandıran,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katma değeri yüksek üretimi destekleyen,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uluslararası iyi uygulama örnekleri ışığında;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mükellef odaklı, etkin, verimli ve adil bir vergi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sistemi oluşturulması amacıyla gelir ve kurumlar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vergisi kanunları birleştirilerek yeni bir Gelir</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Vergisi Kanunu çıkarılacaktır.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Vergi Usul Kanunu</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güncellenecek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Maliye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Vergi Usul Kanununun uluslararası standartlara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modern vergi ilkelerine uygun bir yapıya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kavuşması sağlanacaktır.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Bu kapsamda Tasarı, basitlik ve sadeliği, vergiye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uyum maliyetinin azaltılmasını, mükellef</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haklarının gözetilmesini, uyuşmazlıkların kısa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sürede çözülmesini, vergi cezalarının gönüllü</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uyumu artıracak şekilde caydırıcı bir yapıya</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kavuşturulmasını esas alacaktır.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Mali mevzuatta yer alan dönemsel artışları belirli bir göstergeye bağlayan tüm düzenlemeler gözden geçirilecek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Maliye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Mali mevzuatta yer alan dönemsel artışları belirli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bir göstergeye bağlayan tüm düzenlemeler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gözden geçirilecek ve bu tür düzenlemelerde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rasyonelleşmeye gidilecektir.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Mevcut vergi mevzuatı gözden geçirilerek enerji verimliliğini teşvik eden vergisel düzenlemeler yapılacak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Maliye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Sanayide ve evlerde kullanılan elektrikli araçlar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ile ulaşım araçlarında uygulanan vergi oranları</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enerji verimliliği açısından gözden geçirilecektir.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Gümrük Birliğinin güncellenmesi</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çalışmalarına deva</w:t>
            </w:r>
            <w:r w:rsidR="008D2B56">
              <w:rPr>
                <w:rFonts w:ascii="Tahoma" w:hAnsi="Tahoma" w:cs="Tahoma"/>
                <w:sz w:val="20"/>
                <w:szCs w:val="20"/>
              </w:rPr>
              <w:t>m</w:t>
            </w:r>
            <w:r w:rsidRPr="00F76B92">
              <w:rPr>
                <w:rFonts w:ascii="Tahoma" w:hAnsi="Tahoma" w:cs="Tahoma"/>
                <w:sz w:val="20"/>
                <w:szCs w:val="20"/>
              </w:rPr>
              <w:t xml:space="preserve">  edilecek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Ekonomi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Serbest Ticaret Anlaşmaları dahil, Gümrük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Birliği’nin işleyişinde karşılaşılan güçlüklerin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giderilmesi suretiyle sürdürülebilir bir yapıya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kavuşturulması ve tüm mal ve hizmetler ile kamu</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alımlarını kapsayacak şekilde Gümrük Birliği’nin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kapsamının genişletilmesi amacıyla müzakereler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yürütülecektir.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Bu kapsamda, özel kesimin de katılımıyla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yürütülmekte olan etki analizi ve değerlendirme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çalışmaları dikkate alınarak, Avrupa Birliği ile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entegrasyon çalışmaları doğrultusunda ülkemiz</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müzakere pozisyonu şekillendirilecektir.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Serbest bölgelerin</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cazibesi artırılacak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Ekonomi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Serbest bölgelerin, ülkenin değişen ekonomik şartları ve ihtiyaçları doğrultusunda yönlendirilebilmeleri; yatay ve dikey işbirliği ağları geliştirebilen bölge uygulamacılığı yapılabilmesine imkân verecek bir esnekliğe kavuşturulmaları ve böylece ülkenin uluslararası rekabet gücünün artırılmasına katkı sağlamaları ve ekonomiye daha etkin biçimde entegre olmalarının yanı sıra dünyadaki iyi uygulama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örneklerine yakınlaştırılmalarını teminen, 3218 sayılı Serbest Bölgeler Kanununda stratejik,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büyük ölçekli veya öncelikli yatırımlara yönelik gerekli değişiklikler yapılacaktır.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lastRenderedPageBreak/>
              <w:t>Uluslararası doğrudan sermayenin ülkemize çekilmesine yönelik gerekli tedbirler alınacak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Başbakanlık</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Yatırım ortamının mevzuat ve idari işlemler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açısından kalitesini artırmak üzere Yatırım</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Ortamını İyileştirme Koordinasyon Kurulu</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kapsamında belirlenen eylemler tamamlanacaktır.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Türkiye’nin yatırım imkan ve fırsatlarının özellikle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sermaye ihraç eden yatırımcılara anlatılması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söz konusu yatırımcıların ülkemizde yatırım</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yapmalarının sağlanması amacıyla tanıtım</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seminerleri, iş forumları ve yatırımcı ziyaretleri</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şeklinde tanıtım faaliyetleri gerçekleştirilecektir.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Endüstri Bölgeler  ve Organize Sanayi Bölgelerinde arsa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maliyetlerini azaltacak</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yeni bir mekanizma kurulacak</w:t>
            </w:r>
          </w:p>
        </w:tc>
        <w:tc>
          <w:tcPr>
            <w:tcW w:w="1242"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Bilim, Sanayi ve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Teknoloji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Endüstri bölgelerinin operasyonel hale gelmesiyle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Maliye Bakanlığı tarafından yatırımcılara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yapılacak tahsislere ilişkin usul ve esaslar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belirlenecektir.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Kamu taşınmazlarının tahsisine yönelik usul</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esaslarda düzenleme yapılması gerekli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hususlar, özel sektör görüşleri dikkate alınarak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belirlenecek ve gerekli mevzuat düzenlemeleri</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yapılacaktır.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OSB’lerde yetki karmaşasını ortadan kaldıran etkili bir yönetim yapısı oluşturulacak</w:t>
            </w:r>
          </w:p>
        </w:tc>
        <w:tc>
          <w:tcPr>
            <w:tcW w:w="1242"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Bilim, Sanayi ve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Teknoloji 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OSB uygulamalarında yaşanan sorunların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çözümüne yönelik mevzuat çalışmaları</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yapılacaktır.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İşyeri açma ve çalışma ruhsatlarında basitleştirme ve</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uygulama birliği sağlanacak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Başbakanlık</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Sadece yerel yönetimlerin izin veya ruhsat</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vermesiyle faaliyete başlama imkânı bulunmayan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işyerleri için birden fazla izin/ruhsat alınması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usulüne son verilecektir.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3572 sayılı Kanun ve İşyeri Açma ve Çalışma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Ruhsatlarına İlişkin Yönetmelikte düzenleme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yapılarak bu tür işletmeler için izin başvurularının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ortak başvuru noktasından yapılması veya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izinlerin ilgili kurumlar ve yerel yönetimlerden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oluşan bir heyet tarafından verilmesinin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sağlanması amaçlanmaktadır.</w:t>
            </w:r>
          </w:p>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Büyükşehir belediyeleri ile diğer belediyeler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arasında işyeri açma ve çalışma ruhsatları ile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ilgili uygulama farklılıkları tespit edilecek, bu</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farklılıklar giderilerek istenen belgelerin sayısı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türü bakımından yeknesaklık sağlanacaktır.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Böylece işyeri açma ve çalışma ruhsatlarında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büyükşehir belediyeleri ile belediyeler arasında</w:t>
            </w:r>
          </w:p>
          <w:p w:rsidR="001F4149" w:rsidRPr="00F76B92" w:rsidRDefault="001F4149" w:rsidP="005A6716">
            <w:pPr>
              <w:rPr>
                <w:rFonts w:ascii="Tahoma" w:hAnsi="Tahoma" w:cs="Tahoma"/>
                <w:sz w:val="20"/>
                <w:szCs w:val="20"/>
                <w:lang w:eastAsia="tr-TR"/>
              </w:rPr>
            </w:pPr>
            <w:proofErr w:type="gramStart"/>
            <w:r w:rsidRPr="00F76B92">
              <w:rPr>
                <w:rFonts w:ascii="Tahoma" w:hAnsi="Tahoma" w:cs="Tahoma"/>
                <w:sz w:val="20"/>
                <w:szCs w:val="20"/>
              </w:rPr>
              <w:t>uygulama</w:t>
            </w:r>
            <w:proofErr w:type="gramEnd"/>
            <w:r w:rsidRPr="00F76B92">
              <w:rPr>
                <w:rFonts w:ascii="Tahoma" w:hAnsi="Tahoma" w:cs="Tahoma"/>
                <w:sz w:val="20"/>
                <w:szCs w:val="20"/>
              </w:rPr>
              <w:t xml:space="preserve"> birliği sağlanacaktır.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Enerji lisans, ruhsat ve izin işlemleri kolaylaştırılacak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lang w:eastAsia="tr-TR"/>
              </w:rPr>
              <w:t>EPDK</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21 Haziran 2016</w:t>
            </w:r>
          </w:p>
        </w:tc>
        <w:tc>
          <w:tcPr>
            <w:tcW w:w="4853" w:type="dxa"/>
            <w:shd w:val="clear" w:color="auto" w:fill="auto"/>
            <w:noWrap/>
            <w:vAlign w:val="center"/>
            <w:hideMark/>
          </w:tcPr>
          <w:p w:rsidR="008C4038" w:rsidRDefault="008C4038"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Enerji yatırım süreçlerini kolaylaştırmak üzere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EPDK tarafından lisans/ruhsat/izin işlemlerinde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istenen belgelerin azaltılması ve elektronik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ortamda temini mümkün olan belgelerin başvuru</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sahiplerinden alınmaması yönünde düzenleme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yapılacaktır.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lastRenderedPageBreak/>
              <w:t>Şirketlerin kuruluş ve tasfiye işlemleri değerlendirilerek,</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işlemler daha da kolaylaştırılacak</w:t>
            </w:r>
          </w:p>
        </w:tc>
        <w:tc>
          <w:tcPr>
            <w:tcW w:w="1242"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Gümrük ve Ticaret</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Bakanlığı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Şirketlerin kuruluş ve tasfiye işlemleri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kolaylaştırılacak; maliyetler düşürülecek; süreç</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kısaltılarak basitleştirilecek; iradi tasfiye, iflaslı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tasfiye ve yeniden yapılandırmaya yönelik</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hususlar gözden geçirilecektir.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Sermaye piyasalarında</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kurumsal yatırımcılar teşvik edilecek</w:t>
            </w:r>
          </w:p>
        </w:tc>
        <w:tc>
          <w:tcPr>
            <w:tcW w:w="1242" w:type="dxa"/>
            <w:shd w:val="clear" w:color="auto" w:fill="auto"/>
            <w:noWrap/>
            <w:vAlign w:val="center"/>
            <w:hideMark/>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Hazine Müsteşarlığı</w:t>
            </w:r>
          </w:p>
        </w:tc>
        <w:tc>
          <w:tcPr>
            <w:tcW w:w="1701"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hideMark/>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Ülkemizde finansal sektördeki sermaye piyasaları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payının ve finansal derinliğin artırılması için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kurumsal yatırımcıların ve kurumsal yatırımların</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artırılması amaçlanmaktadır.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Patent Kanunu</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çıkarılacak</w:t>
            </w:r>
          </w:p>
        </w:tc>
        <w:tc>
          <w:tcPr>
            <w:tcW w:w="1242"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Bilim, Sanayi ve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Teknoloji Bakanlığı</w:t>
            </w:r>
          </w:p>
        </w:tc>
        <w:tc>
          <w:tcPr>
            <w:tcW w:w="1701"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Ülkemizin daha nitelikli ve yüksek katma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değer odaklı bir sınai mülkiyet üretim yapısına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geçmesi için, yeni Patent Kanunu Tasarısı</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yasalaştırılacaktır.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Ar-Ge ve yenilik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desteklerinin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etkinliği artırılacak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koordinasyonu</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güçlendirilecek</w:t>
            </w:r>
          </w:p>
        </w:tc>
        <w:tc>
          <w:tcPr>
            <w:tcW w:w="1242"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Bilim, Sanayi ve</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Teknoloji Bakanlığı</w:t>
            </w:r>
          </w:p>
        </w:tc>
        <w:tc>
          <w:tcPr>
            <w:tcW w:w="1701"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Ar-Ge ve yenilik faaliyetlerinin artırılmasına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yönelik destek sağlayan kurumlar arasında</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koordinasyon güçlendirilecek ve desteklerin</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etkililiği artırılacaktır.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Ar-Ge ve tasarım</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alanında erken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aşamaya yönelik bir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fon kurulacak</w:t>
            </w:r>
          </w:p>
        </w:tc>
        <w:tc>
          <w:tcPr>
            <w:tcW w:w="1242" w:type="dxa"/>
            <w:shd w:val="clear" w:color="auto" w:fill="auto"/>
            <w:noWrap/>
            <w:vAlign w:val="center"/>
          </w:tcPr>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Hazine Müsteşarlığı</w:t>
            </w:r>
          </w:p>
        </w:tc>
        <w:tc>
          <w:tcPr>
            <w:tcW w:w="1701"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Hazine Müsteşarlığınca uygulamaya konulan üst</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fon düzenlemesi kapsamında Ar-Ge ve erken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aşama yenilikçi şirketlere yatırım yapacak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girişim sermayesi fonlarına kaynak aktarılacak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aktarılan bu kaynaklar girişim sermayesi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fonlarının kuluçka ve hızlandırıcılar tarafından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başlatılmış projelere yönelik yapılan yatırımlara</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öncelik verilmesi sağlanacaktır.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Turkuaz Kart Sistemi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için hazırlıklar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tamamlanacak</w:t>
            </w:r>
          </w:p>
        </w:tc>
        <w:tc>
          <w:tcPr>
            <w:tcW w:w="1242"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Çalışma ve Sosyal</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Güvenlik Bakanlığı</w:t>
            </w:r>
          </w:p>
        </w:tc>
        <w:tc>
          <w:tcPr>
            <w:tcW w:w="1701"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Nitelikli insan gücü için çalışma izni süreçlerini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hızlandıracak özel bir Turkuaz Kart Sistemi için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hazırlıklar tamamlanacak, nitelikli yabancı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uyruklu çalışanların ve ailelerinin ikâmet iznine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ve çalışmalarına ilişkin süreçleri kolaylaştıracak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düzenlemeler yapılacaktır.Eğitim, tecrübe, ücret, dilbilgisi gibi unsurlar dikkate alınarak bir puanlama sistemi çerçevesinde nitelikli insan gücü için özel bir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çalışma izni süreci tasarlanacaktır.</w:t>
            </w:r>
          </w:p>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Bu çerçevede belirli kriterleri sağlayan kişiler için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deneme süresi sonrasında, uzun süreli ikâmet</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iznini öngören Turkuaz Kart verilecektir.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Türkiye’de iş kurma potansiyeli olan kişilerin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ülkemize getirebilecekleri belirli bir finans</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miktarı dikkate alınarak aynı imkânlardan</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yararlanmaları sağlanacaktır.</w:t>
            </w:r>
          </w:p>
        </w:tc>
      </w:tr>
      <w:tr w:rsidR="001F4149" w:rsidRPr="00F76B92" w:rsidTr="00F76B92">
        <w:trPr>
          <w:trHeight w:val="567"/>
        </w:trPr>
        <w:tc>
          <w:tcPr>
            <w:tcW w:w="2836" w:type="dxa"/>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Araştırma projelerinde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yabancı uzman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çalıştırılması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kolaylaştırılacak</w:t>
            </w:r>
          </w:p>
        </w:tc>
        <w:tc>
          <w:tcPr>
            <w:tcW w:w="1242"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Çalışma ve Sosyal</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Güvenlik Bakanlığı</w:t>
            </w:r>
          </w:p>
        </w:tc>
        <w:tc>
          <w:tcPr>
            <w:tcW w:w="1701"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Ülkemizde ihtiyaç duyulan bilgi ve tecrübe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düzeyi yüksek yabancı uzmanların ülkemizde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çalışmalarının kolaylaştırılması için gerekli</w:t>
            </w:r>
          </w:p>
          <w:p w:rsidR="001F4149" w:rsidRPr="00F76B92" w:rsidRDefault="001F4149" w:rsidP="005A6716">
            <w:pPr>
              <w:rPr>
                <w:rFonts w:ascii="Tahoma" w:hAnsi="Tahoma" w:cs="Tahoma"/>
                <w:sz w:val="20"/>
                <w:szCs w:val="20"/>
                <w:lang w:eastAsia="tr-TR"/>
              </w:rPr>
            </w:pPr>
            <w:r w:rsidRPr="00F76B92">
              <w:rPr>
                <w:rFonts w:ascii="Tahoma" w:hAnsi="Tahoma" w:cs="Tahoma"/>
                <w:sz w:val="20"/>
                <w:szCs w:val="20"/>
              </w:rPr>
              <w:t>düzenlemeler yapılacaktır.</w:t>
            </w:r>
          </w:p>
        </w:tc>
      </w:tr>
      <w:tr w:rsidR="001F4149" w:rsidRPr="00F76B92" w:rsidTr="00F76B92">
        <w:trPr>
          <w:trHeight w:val="567"/>
        </w:trPr>
        <w:tc>
          <w:tcPr>
            <w:tcW w:w="2836" w:type="dxa"/>
            <w:tcBorders>
              <w:bottom w:val="single" w:sz="12" w:space="0" w:color="auto"/>
            </w:tcBorders>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lastRenderedPageBreak/>
              <w:t>Gayrimenkul</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Sertifikası modeli</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hayata geçirilecek</w:t>
            </w:r>
          </w:p>
        </w:tc>
        <w:tc>
          <w:tcPr>
            <w:tcW w:w="1242" w:type="dxa"/>
            <w:tcBorders>
              <w:bottom w:val="single" w:sz="12" w:space="0" w:color="auto"/>
            </w:tcBorders>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Çevre ve Şehircilik</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Bakanlığı</w:t>
            </w:r>
          </w:p>
        </w:tc>
        <w:tc>
          <w:tcPr>
            <w:tcW w:w="1701" w:type="dxa"/>
            <w:tcBorders>
              <w:bottom w:val="single" w:sz="12" w:space="0" w:color="auto"/>
            </w:tcBorders>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1F4149" w:rsidRPr="00F76B92" w:rsidRDefault="001F4149" w:rsidP="005A6716">
            <w:pPr>
              <w:autoSpaceDE w:val="0"/>
              <w:autoSpaceDN w:val="0"/>
              <w:adjustRightInd w:val="0"/>
              <w:rPr>
                <w:rFonts w:ascii="Tahoma" w:eastAsia="Calibri" w:hAnsi="Tahoma" w:cs="Tahoma"/>
                <w:sz w:val="20"/>
                <w:szCs w:val="20"/>
              </w:rPr>
            </w:pPr>
            <w:r w:rsidRPr="00F76B92">
              <w:rPr>
                <w:rFonts w:ascii="Tahoma" w:hAnsi="Tahoma" w:cs="Tahoma"/>
                <w:sz w:val="20"/>
                <w:szCs w:val="20"/>
              </w:rPr>
              <w:t>21 Haziran 2016</w:t>
            </w:r>
          </w:p>
        </w:tc>
        <w:tc>
          <w:tcPr>
            <w:tcW w:w="4853" w:type="dxa"/>
            <w:tcBorders>
              <w:bottom w:val="single" w:sz="12" w:space="0" w:color="auto"/>
            </w:tcBorders>
            <w:shd w:val="clear" w:color="auto" w:fill="auto"/>
            <w:noWrap/>
            <w:vAlign w:val="center"/>
          </w:tcPr>
          <w:p w:rsidR="001F4149" w:rsidRPr="00F76B92" w:rsidRDefault="001F4149" w:rsidP="005A6716">
            <w:pPr>
              <w:autoSpaceDE w:val="0"/>
              <w:autoSpaceDN w:val="0"/>
              <w:adjustRightInd w:val="0"/>
              <w:rPr>
                <w:rFonts w:ascii="Tahoma" w:hAnsi="Tahoma" w:cs="Tahoma"/>
                <w:sz w:val="20"/>
                <w:szCs w:val="20"/>
              </w:rPr>
            </w:pP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Kentsel dönüşüm alanlarında hakların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devredilmesine imkan sağlayacak şekilde</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Gayrimenkul Sertifikası Modeli geliştirilecektir.</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Gayrimenkul Sertifikası Modeli, hakların</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belirlenmesi, alımı ve satımı gibi unsurları</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kapsayacaktır. Söz konusu modele ilişkin mevzuat</w:t>
            </w:r>
          </w:p>
          <w:p w:rsidR="001F4149" w:rsidRPr="00F76B92" w:rsidRDefault="001F4149" w:rsidP="005A6716">
            <w:pPr>
              <w:autoSpaceDE w:val="0"/>
              <w:autoSpaceDN w:val="0"/>
              <w:adjustRightInd w:val="0"/>
              <w:rPr>
                <w:rFonts w:ascii="Tahoma" w:hAnsi="Tahoma" w:cs="Tahoma"/>
                <w:sz w:val="20"/>
                <w:szCs w:val="20"/>
              </w:rPr>
            </w:pPr>
            <w:r w:rsidRPr="00F76B92">
              <w:rPr>
                <w:rFonts w:ascii="Tahoma" w:hAnsi="Tahoma" w:cs="Tahoma"/>
                <w:sz w:val="20"/>
                <w:szCs w:val="20"/>
              </w:rPr>
              <w:t>çalışması SPK tarafından tamamlanacaktır.</w:t>
            </w:r>
          </w:p>
        </w:tc>
      </w:tr>
      <w:tr w:rsidR="001F4149" w:rsidRPr="00F76B92" w:rsidTr="00F76B92">
        <w:trPr>
          <w:trHeight w:val="567"/>
        </w:trPr>
        <w:tc>
          <w:tcPr>
            <w:tcW w:w="10632"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1F4149" w:rsidRPr="00F76B92" w:rsidRDefault="001F4149" w:rsidP="00EE3E1A">
            <w:pPr>
              <w:autoSpaceDE w:val="0"/>
              <w:autoSpaceDN w:val="0"/>
              <w:adjustRightInd w:val="0"/>
              <w:jc w:val="center"/>
              <w:rPr>
                <w:rFonts w:ascii="Tahoma" w:hAnsi="Tahoma" w:cs="Tahoma"/>
                <w:b/>
                <w:sz w:val="20"/>
                <w:szCs w:val="20"/>
              </w:rPr>
            </w:pPr>
            <w:r w:rsidRPr="00F76B92">
              <w:rPr>
                <w:rFonts w:ascii="Tahoma" w:hAnsi="Tahoma" w:cs="Tahoma"/>
                <w:b/>
                <w:sz w:val="20"/>
                <w:szCs w:val="20"/>
              </w:rPr>
              <w:t>1 YIL İÇERİSİNDE (21 Aralık 2015 -21 Aralık 2016) YAPILACAKLAR</w:t>
            </w:r>
          </w:p>
        </w:tc>
      </w:tr>
      <w:tr w:rsidR="00DA0FF0" w:rsidRPr="00F76B92" w:rsidTr="00282688">
        <w:trPr>
          <w:trHeight w:val="567"/>
        </w:trPr>
        <w:tc>
          <w:tcPr>
            <w:tcW w:w="2836" w:type="dxa"/>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Kamu İhale Kanunu</w:t>
            </w:r>
          </w:p>
          <w:p w:rsidR="00DA0FF0" w:rsidRPr="008D2B56" w:rsidRDefault="00DA0FF0" w:rsidP="005A6716">
            <w:pPr>
              <w:autoSpaceDE w:val="0"/>
              <w:autoSpaceDN w:val="0"/>
              <w:adjustRightInd w:val="0"/>
              <w:rPr>
                <w:rFonts w:ascii="Tahoma" w:hAnsi="Tahoma" w:cs="Tahoma"/>
                <w:sz w:val="20"/>
                <w:szCs w:val="20"/>
                <w:highlight w:val="yellow"/>
              </w:rPr>
            </w:pPr>
            <w:r w:rsidRPr="00F76B92">
              <w:rPr>
                <w:rFonts w:ascii="Tahoma" w:hAnsi="Tahoma" w:cs="Tahoma"/>
                <w:sz w:val="20"/>
                <w:szCs w:val="20"/>
              </w:rPr>
              <w:t>güncellenecek</w:t>
            </w:r>
          </w:p>
        </w:tc>
        <w:tc>
          <w:tcPr>
            <w:tcW w:w="1242" w:type="dxa"/>
            <w:shd w:val="clear" w:color="auto" w:fill="auto"/>
            <w:noWrap/>
            <w:vAlign w:val="center"/>
          </w:tcPr>
          <w:p w:rsidR="00DA0FF0" w:rsidRPr="008D2B56" w:rsidRDefault="00DA0FF0" w:rsidP="005A6716">
            <w:pPr>
              <w:autoSpaceDE w:val="0"/>
              <w:autoSpaceDN w:val="0"/>
              <w:adjustRightInd w:val="0"/>
              <w:rPr>
                <w:rFonts w:ascii="Tahoma" w:hAnsi="Tahoma" w:cs="Tahoma"/>
                <w:sz w:val="20"/>
                <w:szCs w:val="20"/>
                <w:highlight w:val="yellow"/>
              </w:rPr>
            </w:pPr>
            <w:r w:rsidRPr="00F76B92">
              <w:rPr>
                <w:rFonts w:ascii="Tahoma" w:hAnsi="Tahoma" w:cs="Tahoma"/>
                <w:sz w:val="20"/>
                <w:szCs w:val="20"/>
              </w:rPr>
              <w:t>Maliye Bakanlığı</w:t>
            </w:r>
          </w:p>
        </w:tc>
        <w:tc>
          <w:tcPr>
            <w:tcW w:w="1701"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DA0FF0" w:rsidRPr="008D2B56" w:rsidRDefault="00DA0FF0" w:rsidP="005A6716">
            <w:pPr>
              <w:rPr>
                <w:rFonts w:ascii="Tahoma" w:hAnsi="Tahoma" w:cs="Tahoma"/>
                <w:sz w:val="20"/>
                <w:szCs w:val="20"/>
                <w:highlight w:val="yellow"/>
                <w:lang w:eastAsia="tr-TR"/>
              </w:rPr>
            </w:pPr>
            <w:r w:rsidRPr="00F76B92">
              <w:rPr>
                <w:rFonts w:ascii="Tahoma" w:hAnsi="Tahoma" w:cs="Tahoma"/>
                <w:sz w:val="20"/>
                <w:szCs w:val="20"/>
              </w:rPr>
              <w:t>21 Aralık 2016</w:t>
            </w:r>
          </w:p>
        </w:tc>
        <w:tc>
          <w:tcPr>
            <w:tcW w:w="4853"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Kamu İhale Kanunu, Avrupa Birliği’nin</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kamu alımları direktiflerine uygun olarak</w:t>
            </w:r>
          </w:p>
          <w:p w:rsidR="00DA0FF0" w:rsidRPr="008D2B56" w:rsidRDefault="00DA0FF0" w:rsidP="005A6716">
            <w:pPr>
              <w:autoSpaceDE w:val="0"/>
              <w:autoSpaceDN w:val="0"/>
              <w:adjustRightInd w:val="0"/>
              <w:rPr>
                <w:rFonts w:ascii="Tahoma" w:hAnsi="Tahoma" w:cs="Tahoma"/>
                <w:sz w:val="20"/>
                <w:szCs w:val="20"/>
                <w:highlight w:val="yellow"/>
              </w:rPr>
            </w:pPr>
            <w:proofErr w:type="gramStart"/>
            <w:r w:rsidRPr="00F76B92">
              <w:rPr>
                <w:rFonts w:ascii="Tahoma" w:hAnsi="Tahoma" w:cs="Tahoma"/>
                <w:sz w:val="20"/>
                <w:szCs w:val="20"/>
              </w:rPr>
              <w:t>güncellenecektir</w:t>
            </w:r>
            <w:proofErr w:type="gramEnd"/>
            <w:r w:rsidRPr="00F76B92">
              <w:rPr>
                <w:rFonts w:ascii="Tahoma" w:hAnsi="Tahoma" w:cs="Tahoma"/>
                <w:sz w:val="20"/>
                <w:szCs w:val="20"/>
              </w:rPr>
              <w:t>.</w:t>
            </w:r>
          </w:p>
        </w:tc>
      </w:tr>
      <w:tr w:rsidR="00DA0FF0" w:rsidRPr="00F76B92" w:rsidTr="00F76B92">
        <w:trPr>
          <w:trHeight w:val="567"/>
        </w:trPr>
        <w:tc>
          <w:tcPr>
            <w:tcW w:w="2836" w:type="dxa"/>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Kamu ve özel</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kesim işbirliğine</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yönelik temel kanun</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hazırlanacak</w:t>
            </w:r>
          </w:p>
        </w:tc>
        <w:tc>
          <w:tcPr>
            <w:tcW w:w="1242"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Kalkınma Bakanlığı</w:t>
            </w:r>
          </w:p>
        </w:tc>
        <w:tc>
          <w:tcPr>
            <w:tcW w:w="1701"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DA0FF0" w:rsidRPr="00F76B92" w:rsidRDefault="00DA0FF0" w:rsidP="005A6716">
            <w:pPr>
              <w:rPr>
                <w:rFonts w:ascii="Tahoma" w:hAnsi="Tahoma" w:cs="Tahoma"/>
                <w:sz w:val="20"/>
                <w:szCs w:val="20"/>
                <w:lang w:eastAsia="tr-TR"/>
              </w:rPr>
            </w:pPr>
            <w:r w:rsidRPr="00F76B92">
              <w:rPr>
                <w:rFonts w:ascii="Tahoma" w:hAnsi="Tahoma" w:cs="Tahoma"/>
                <w:sz w:val="20"/>
                <w:szCs w:val="20"/>
              </w:rPr>
              <w:t>21 Aralık 2016</w:t>
            </w:r>
          </w:p>
        </w:tc>
        <w:tc>
          <w:tcPr>
            <w:tcW w:w="4853"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Kamu ve özel kesim işbirliği alanında halen</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dağınık bir yapıda olan mevzuatı tek bir temel</w:t>
            </w:r>
          </w:p>
          <w:p w:rsidR="00DA0FF0" w:rsidRPr="00F76B92" w:rsidRDefault="00DA0FF0" w:rsidP="005A6716">
            <w:pPr>
              <w:autoSpaceDE w:val="0"/>
              <w:autoSpaceDN w:val="0"/>
              <w:adjustRightInd w:val="0"/>
              <w:rPr>
                <w:rFonts w:ascii="Tahoma" w:hAnsi="Tahoma" w:cs="Tahoma"/>
                <w:sz w:val="20"/>
                <w:szCs w:val="20"/>
              </w:rPr>
            </w:pPr>
            <w:proofErr w:type="gramStart"/>
            <w:r w:rsidRPr="00F76B92">
              <w:rPr>
                <w:rFonts w:ascii="Tahoma" w:hAnsi="Tahoma" w:cs="Tahoma"/>
                <w:sz w:val="20"/>
                <w:szCs w:val="20"/>
              </w:rPr>
              <w:t>kanunla</w:t>
            </w:r>
            <w:proofErr w:type="gramEnd"/>
            <w:r w:rsidRPr="00F76B92">
              <w:rPr>
                <w:rFonts w:ascii="Tahoma" w:hAnsi="Tahoma" w:cs="Tahoma"/>
                <w:sz w:val="20"/>
                <w:szCs w:val="20"/>
              </w:rPr>
              <w:t xml:space="preserve"> düzenleyecek çalışma tamamlanacaktır.</w:t>
            </w:r>
          </w:p>
        </w:tc>
      </w:tr>
      <w:tr w:rsidR="00DA0FF0" w:rsidRPr="00F76B92" w:rsidTr="00F76B92">
        <w:trPr>
          <w:trHeight w:val="567"/>
        </w:trPr>
        <w:tc>
          <w:tcPr>
            <w:tcW w:w="2836" w:type="dxa"/>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Damga Vergisi Kanunu</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gözden geçirilerek yenilenecek</w:t>
            </w:r>
          </w:p>
        </w:tc>
        <w:tc>
          <w:tcPr>
            <w:tcW w:w="1242"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Maliye Bakanlığı</w:t>
            </w:r>
          </w:p>
        </w:tc>
        <w:tc>
          <w:tcPr>
            <w:tcW w:w="1701"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DA0FF0" w:rsidRPr="00F76B92" w:rsidRDefault="00DA0FF0" w:rsidP="005A6716">
            <w:pPr>
              <w:rPr>
                <w:rFonts w:ascii="Tahoma" w:hAnsi="Tahoma" w:cs="Tahoma"/>
                <w:sz w:val="20"/>
                <w:szCs w:val="20"/>
                <w:lang w:eastAsia="tr-TR"/>
              </w:rPr>
            </w:pPr>
            <w:r w:rsidRPr="00F76B92">
              <w:rPr>
                <w:rFonts w:ascii="Tahoma" w:hAnsi="Tahoma" w:cs="Tahoma"/>
                <w:sz w:val="20"/>
                <w:szCs w:val="20"/>
              </w:rPr>
              <w:t>21 Aralık 2016</w:t>
            </w:r>
          </w:p>
        </w:tc>
        <w:tc>
          <w:tcPr>
            <w:tcW w:w="4853"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Yatırımları daha fazla teşvik edebilmek amacıyla,</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ekonomik ve malî etkileri dikkate alınarak,</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488 sayılı Damga Vergisi Kanununun bazı</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hükümleri ve uygulamaları gözden geçirilerek</w:t>
            </w:r>
          </w:p>
          <w:p w:rsidR="00DA0FF0" w:rsidRPr="00F76B92" w:rsidRDefault="00DA0FF0" w:rsidP="005A6716">
            <w:pPr>
              <w:autoSpaceDE w:val="0"/>
              <w:autoSpaceDN w:val="0"/>
              <w:adjustRightInd w:val="0"/>
              <w:rPr>
                <w:rFonts w:ascii="Tahoma" w:hAnsi="Tahoma" w:cs="Tahoma"/>
                <w:sz w:val="20"/>
                <w:szCs w:val="20"/>
              </w:rPr>
            </w:pPr>
            <w:proofErr w:type="gramStart"/>
            <w:r w:rsidRPr="00F76B92">
              <w:rPr>
                <w:rFonts w:ascii="Tahoma" w:hAnsi="Tahoma" w:cs="Tahoma"/>
                <w:sz w:val="20"/>
                <w:szCs w:val="20"/>
              </w:rPr>
              <w:t>yenilenecektir</w:t>
            </w:r>
            <w:proofErr w:type="gramEnd"/>
            <w:r w:rsidRPr="00F76B92">
              <w:rPr>
                <w:rFonts w:ascii="Tahoma" w:hAnsi="Tahoma" w:cs="Tahoma"/>
                <w:sz w:val="20"/>
                <w:szCs w:val="20"/>
              </w:rPr>
              <w:t>.</w:t>
            </w:r>
          </w:p>
        </w:tc>
      </w:tr>
      <w:tr w:rsidR="00DA0FF0" w:rsidRPr="00F76B92" w:rsidTr="00F76B92">
        <w:trPr>
          <w:trHeight w:val="567"/>
        </w:trPr>
        <w:tc>
          <w:tcPr>
            <w:tcW w:w="2836" w:type="dxa"/>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KOBİ’lerin</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taşınırlarının teminat</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olarak kullanılması</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sağlanacak</w:t>
            </w:r>
          </w:p>
        </w:tc>
        <w:tc>
          <w:tcPr>
            <w:tcW w:w="1242"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Adalet Bakanlığı,</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Hazine Müsteşarlığı,</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BDDK</w:t>
            </w:r>
          </w:p>
        </w:tc>
        <w:tc>
          <w:tcPr>
            <w:tcW w:w="1701"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DA0FF0" w:rsidRPr="00F76B92" w:rsidRDefault="00DA0FF0" w:rsidP="005A6716">
            <w:pPr>
              <w:rPr>
                <w:rFonts w:ascii="Tahoma" w:hAnsi="Tahoma" w:cs="Tahoma"/>
                <w:sz w:val="20"/>
                <w:szCs w:val="20"/>
                <w:lang w:eastAsia="tr-TR"/>
              </w:rPr>
            </w:pPr>
            <w:r w:rsidRPr="00F76B92">
              <w:rPr>
                <w:rFonts w:ascii="Tahoma" w:hAnsi="Tahoma" w:cs="Tahoma"/>
                <w:sz w:val="20"/>
                <w:szCs w:val="20"/>
              </w:rPr>
              <w:t>21 Aralık 2016</w:t>
            </w:r>
          </w:p>
        </w:tc>
        <w:tc>
          <w:tcPr>
            <w:tcW w:w="4853"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KOBİ’lerin finansmana erişimini kolaylaştırma</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amacıyla KOBİ’lerin teminat olarak</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gösterebilecekleri taşınır varlıkların kapsamı</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genişletilecek, taşınırların teminat olarak</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alınmasına ilişkin parçalı yapı tek bir yasal</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düzenleme ile günümüz koşulları göz önüne</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alınarak yeniden düzenlenecek ve taşınırlara</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ilişkin çevrimiçi merkezi bir sicil sistemi</w:t>
            </w:r>
          </w:p>
          <w:p w:rsidR="00DA0FF0" w:rsidRPr="00F76B92" w:rsidRDefault="00DA0FF0" w:rsidP="005A6716">
            <w:pPr>
              <w:autoSpaceDE w:val="0"/>
              <w:autoSpaceDN w:val="0"/>
              <w:adjustRightInd w:val="0"/>
              <w:rPr>
                <w:rFonts w:ascii="Tahoma" w:hAnsi="Tahoma" w:cs="Tahoma"/>
                <w:sz w:val="20"/>
                <w:szCs w:val="20"/>
              </w:rPr>
            </w:pPr>
            <w:proofErr w:type="gramStart"/>
            <w:r w:rsidRPr="00F76B92">
              <w:rPr>
                <w:rFonts w:ascii="Tahoma" w:hAnsi="Tahoma" w:cs="Tahoma"/>
                <w:sz w:val="20"/>
                <w:szCs w:val="20"/>
              </w:rPr>
              <w:t>kurulacaktır</w:t>
            </w:r>
            <w:proofErr w:type="gramEnd"/>
            <w:r w:rsidRPr="00F76B92">
              <w:rPr>
                <w:rFonts w:ascii="Tahoma" w:hAnsi="Tahoma" w:cs="Tahoma"/>
                <w:sz w:val="20"/>
                <w:szCs w:val="20"/>
              </w:rPr>
              <w:t>.</w:t>
            </w:r>
          </w:p>
        </w:tc>
      </w:tr>
      <w:tr w:rsidR="00DA0FF0" w:rsidRPr="00F76B92" w:rsidTr="00F76B92">
        <w:trPr>
          <w:trHeight w:val="567"/>
        </w:trPr>
        <w:tc>
          <w:tcPr>
            <w:tcW w:w="2836" w:type="dxa"/>
            <w:vAlign w:val="center"/>
          </w:tcPr>
          <w:p w:rsidR="00DA0FF0" w:rsidRDefault="00DA0FF0" w:rsidP="005A6716">
            <w:pPr>
              <w:autoSpaceDE w:val="0"/>
              <w:autoSpaceDN w:val="0"/>
              <w:adjustRightInd w:val="0"/>
              <w:rPr>
                <w:rFonts w:ascii="Tahoma" w:hAnsi="Tahoma" w:cs="Tahoma"/>
                <w:sz w:val="20"/>
                <w:szCs w:val="20"/>
              </w:rPr>
            </w:pP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Dâhilde İşleme Rejimi</w:t>
            </w:r>
          </w:p>
          <w:p w:rsidR="00DA0FF0" w:rsidRPr="008D2B56" w:rsidRDefault="00DA0FF0" w:rsidP="005A6716">
            <w:pPr>
              <w:autoSpaceDE w:val="0"/>
              <w:autoSpaceDN w:val="0"/>
              <w:adjustRightInd w:val="0"/>
              <w:rPr>
                <w:rFonts w:ascii="Tahoma" w:hAnsi="Tahoma" w:cs="Tahoma"/>
                <w:sz w:val="20"/>
                <w:szCs w:val="20"/>
                <w:highlight w:val="yellow"/>
              </w:rPr>
            </w:pPr>
            <w:r w:rsidRPr="00F76B92">
              <w:rPr>
                <w:rFonts w:ascii="Tahoma" w:hAnsi="Tahoma" w:cs="Tahoma"/>
                <w:sz w:val="20"/>
                <w:szCs w:val="20"/>
              </w:rPr>
              <w:t>gözden geçirilecek</w:t>
            </w:r>
          </w:p>
        </w:tc>
        <w:tc>
          <w:tcPr>
            <w:tcW w:w="1242" w:type="dxa"/>
            <w:shd w:val="clear" w:color="auto" w:fill="auto"/>
            <w:noWrap/>
            <w:vAlign w:val="center"/>
          </w:tcPr>
          <w:p w:rsidR="00DA0FF0" w:rsidRPr="008D2B56" w:rsidRDefault="00DA0FF0" w:rsidP="005A6716">
            <w:pPr>
              <w:autoSpaceDE w:val="0"/>
              <w:autoSpaceDN w:val="0"/>
              <w:adjustRightInd w:val="0"/>
              <w:rPr>
                <w:rFonts w:ascii="Tahoma" w:hAnsi="Tahoma" w:cs="Tahoma"/>
                <w:sz w:val="20"/>
                <w:szCs w:val="20"/>
                <w:highlight w:val="yellow"/>
              </w:rPr>
            </w:pPr>
          </w:p>
        </w:tc>
        <w:tc>
          <w:tcPr>
            <w:tcW w:w="1701"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21 Aralık 2015</w:t>
            </w:r>
          </w:p>
          <w:p w:rsidR="00DA0FF0" w:rsidRPr="008D2B56" w:rsidRDefault="00DA0FF0" w:rsidP="005A6716">
            <w:pPr>
              <w:rPr>
                <w:rFonts w:ascii="Tahoma" w:hAnsi="Tahoma" w:cs="Tahoma"/>
                <w:sz w:val="20"/>
                <w:szCs w:val="20"/>
                <w:highlight w:val="yellow"/>
                <w:lang w:eastAsia="tr-TR"/>
              </w:rPr>
            </w:pPr>
            <w:r w:rsidRPr="00F76B92">
              <w:rPr>
                <w:rFonts w:ascii="Tahoma" w:hAnsi="Tahoma" w:cs="Tahoma"/>
                <w:sz w:val="20"/>
                <w:szCs w:val="20"/>
              </w:rPr>
              <w:t>21 Aralık 2016</w:t>
            </w:r>
          </w:p>
        </w:tc>
        <w:tc>
          <w:tcPr>
            <w:tcW w:w="4853" w:type="dxa"/>
            <w:shd w:val="clear" w:color="auto" w:fill="auto"/>
            <w:noWrap/>
            <w:vAlign w:val="center"/>
          </w:tcPr>
          <w:p w:rsidR="00DA0FF0" w:rsidRPr="00F76B92" w:rsidRDefault="00DA0FF0" w:rsidP="005A6716">
            <w:pPr>
              <w:autoSpaceDE w:val="0"/>
              <w:autoSpaceDN w:val="0"/>
              <w:adjustRightInd w:val="0"/>
              <w:rPr>
                <w:rFonts w:ascii="Tahoma" w:hAnsi="Tahoma" w:cs="Tahoma"/>
                <w:sz w:val="20"/>
                <w:szCs w:val="20"/>
              </w:rPr>
            </w:pP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Dahilde İşleme Rejimi, ihracatçılarımızın dünya</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piyasa fiyatlarından girdi temin etmesine olanak</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sağlayan dış ticaretimiz açısından son derece</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önemli bir enstrümandır.</w:t>
            </w:r>
          </w:p>
          <w:p w:rsidR="00DA0FF0" w:rsidRPr="00F76B92" w:rsidRDefault="00DA0FF0" w:rsidP="005A6716">
            <w:pPr>
              <w:autoSpaceDE w:val="0"/>
              <w:autoSpaceDN w:val="0"/>
              <w:adjustRightInd w:val="0"/>
              <w:rPr>
                <w:rFonts w:ascii="Tahoma" w:hAnsi="Tahoma" w:cs="Tahoma"/>
                <w:sz w:val="20"/>
                <w:szCs w:val="20"/>
              </w:rPr>
            </w:pP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Yurt içi üretime zarar vermemek hususu esas</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alınarak ve konuyla ilgili tüm paydaşların görüş</w:t>
            </w:r>
          </w:p>
          <w:p w:rsidR="00DA0FF0" w:rsidRPr="00F76B92" w:rsidRDefault="00DA0FF0" w:rsidP="005A6716">
            <w:pPr>
              <w:autoSpaceDE w:val="0"/>
              <w:autoSpaceDN w:val="0"/>
              <w:adjustRightInd w:val="0"/>
              <w:rPr>
                <w:rFonts w:ascii="Tahoma" w:hAnsi="Tahoma" w:cs="Tahoma"/>
                <w:sz w:val="20"/>
                <w:szCs w:val="20"/>
              </w:rPr>
            </w:pPr>
            <w:r w:rsidRPr="00F76B92">
              <w:rPr>
                <w:rFonts w:ascii="Tahoma" w:hAnsi="Tahoma" w:cs="Tahoma"/>
                <w:sz w:val="20"/>
                <w:szCs w:val="20"/>
              </w:rPr>
              <w:t>ve önerileri dikkate alınarak Rejim gözden</w:t>
            </w:r>
          </w:p>
          <w:p w:rsidR="00DA0FF0" w:rsidRPr="008D2B56" w:rsidRDefault="00DA0FF0" w:rsidP="005A6716">
            <w:pPr>
              <w:autoSpaceDE w:val="0"/>
              <w:autoSpaceDN w:val="0"/>
              <w:adjustRightInd w:val="0"/>
              <w:rPr>
                <w:rFonts w:ascii="Tahoma" w:hAnsi="Tahoma" w:cs="Tahoma"/>
                <w:sz w:val="20"/>
                <w:szCs w:val="20"/>
                <w:highlight w:val="yellow"/>
              </w:rPr>
            </w:pPr>
            <w:proofErr w:type="gramStart"/>
            <w:r w:rsidRPr="00F76B92">
              <w:rPr>
                <w:rFonts w:ascii="Tahoma" w:hAnsi="Tahoma" w:cs="Tahoma"/>
                <w:sz w:val="20"/>
                <w:szCs w:val="20"/>
              </w:rPr>
              <w:t>geçirilecek</w:t>
            </w:r>
            <w:proofErr w:type="gramEnd"/>
            <w:r w:rsidRPr="00F76B92">
              <w:rPr>
                <w:rFonts w:ascii="Tahoma" w:hAnsi="Tahoma" w:cs="Tahoma"/>
                <w:sz w:val="20"/>
                <w:szCs w:val="20"/>
              </w:rPr>
              <w:t xml:space="preserve"> ve gerekli düzenlemeler yapılacaktır.</w:t>
            </w:r>
          </w:p>
        </w:tc>
      </w:tr>
    </w:tbl>
    <w:p w:rsidR="00187162" w:rsidRDefault="00187162">
      <w:pPr>
        <w:rPr>
          <w:rFonts w:ascii="Tahoma" w:hAnsi="Tahoma" w:cs="Tahoma"/>
          <w:b/>
          <w:color w:val="808080"/>
          <w:sz w:val="18"/>
          <w:szCs w:val="18"/>
          <w:lang w:val="tr-TR"/>
        </w:rPr>
      </w:pPr>
    </w:p>
    <w:p w:rsidR="00640B6B" w:rsidRDefault="00640B6B">
      <w:pPr>
        <w:rPr>
          <w:rFonts w:ascii="Tahoma" w:hAnsi="Tahoma" w:cs="Tahoma"/>
          <w:b/>
          <w:color w:val="808080"/>
          <w:sz w:val="18"/>
          <w:szCs w:val="18"/>
          <w:lang w:val="tr-TR"/>
        </w:rPr>
      </w:pPr>
    </w:p>
    <w:p w:rsidR="00640B6B" w:rsidRDefault="00640B6B">
      <w:pPr>
        <w:rPr>
          <w:rFonts w:ascii="Tahoma" w:hAnsi="Tahoma" w:cs="Tahoma"/>
          <w:b/>
          <w:color w:val="808080"/>
          <w:sz w:val="18"/>
          <w:szCs w:val="18"/>
          <w:lang w:val="tr-TR"/>
        </w:rPr>
      </w:pPr>
    </w:p>
    <w:p w:rsidR="00640B6B" w:rsidRDefault="00640B6B">
      <w:pPr>
        <w:rPr>
          <w:rFonts w:ascii="Tahoma" w:hAnsi="Tahoma" w:cs="Tahoma"/>
          <w:b/>
          <w:color w:val="808080"/>
          <w:sz w:val="18"/>
          <w:szCs w:val="18"/>
          <w:lang w:val="tr-TR"/>
        </w:rPr>
      </w:pPr>
    </w:p>
    <w:p w:rsidR="00640B6B" w:rsidRPr="00640B6B" w:rsidRDefault="00640B6B" w:rsidP="00640B6B">
      <w:pPr>
        <w:ind w:firstLine="720"/>
        <w:rPr>
          <w:rFonts w:ascii="Tahoma" w:hAnsi="Tahoma" w:cs="Tahoma"/>
          <w:sz w:val="20"/>
          <w:szCs w:val="20"/>
          <w:lang w:val="tr-TR"/>
        </w:rPr>
      </w:pPr>
      <w:bookmarkStart w:id="0" w:name="_GoBack"/>
      <w:bookmarkEnd w:id="0"/>
    </w:p>
    <w:sectPr w:rsidR="00640B6B" w:rsidRPr="00640B6B"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33" w:rsidRDefault="007F7033" w:rsidP="00053CFC">
      <w:r>
        <w:separator/>
      </w:r>
    </w:p>
  </w:endnote>
  <w:endnote w:type="continuationSeparator" w:id="0">
    <w:p w:rsidR="007F7033" w:rsidRDefault="007F7033"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DA0FF0">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DA0FF0">
    <w:pPr>
      <w:pStyle w:val="Altbilgi"/>
    </w:pPr>
    <w:r>
      <w:rPr>
        <w:noProof/>
        <w:lang w:val="tr-TR" w:eastAsia="tr-T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-55245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33" w:rsidRDefault="007F7033" w:rsidP="00053CFC">
      <w:r>
        <w:separator/>
      </w:r>
    </w:p>
  </w:footnote>
  <w:footnote w:type="continuationSeparator" w:id="0">
    <w:p w:rsidR="007F7033" w:rsidRDefault="007F7033"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DA0FF0"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DA0FF0">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4964"/>
    <w:rsid w:val="001E36EC"/>
    <w:rsid w:val="001E59C1"/>
    <w:rsid w:val="001F4149"/>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444"/>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3BD7"/>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0B6B"/>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7663F"/>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033"/>
    <w:rsid w:val="007F7A3C"/>
    <w:rsid w:val="007F7D54"/>
    <w:rsid w:val="008008E9"/>
    <w:rsid w:val="00801E80"/>
    <w:rsid w:val="00801EBD"/>
    <w:rsid w:val="00806DB1"/>
    <w:rsid w:val="0080729C"/>
    <w:rsid w:val="008104BE"/>
    <w:rsid w:val="00810DB5"/>
    <w:rsid w:val="008116B8"/>
    <w:rsid w:val="00814307"/>
    <w:rsid w:val="0081572A"/>
    <w:rsid w:val="00816457"/>
    <w:rsid w:val="00816AE1"/>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3E5"/>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038"/>
    <w:rsid w:val="008C48CE"/>
    <w:rsid w:val="008C76D3"/>
    <w:rsid w:val="008C7CA4"/>
    <w:rsid w:val="008D1BFF"/>
    <w:rsid w:val="008D2B56"/>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4AD5"/>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D77A1"/>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3527"/>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5244"/>
    <w:rsid w:val="00D86F3A"/>
    <w:rsid w:val="00D87709"/>
    <w:rsid w:val="00D914D0"/>
    <w:rsid w:val="00D91939"/>
    <w:rsid w:val="00D922AA"/>
    <w:rsid w:val="00D9506A"/>
    <w:rsid w:val="00DA0FF0"/>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3E1A"/>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17A47"/>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6B92"/>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284A"/>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08606346">
      <w:bodyDiv w:val="1"/>
      <w:marLeft w:val="0"/>
      <w:marRight w:val="0"/>
      <w:marTop w:val="0"/>
      <w:marBottom w:val="0"/>
      <w:divBdr>
        <w:top w:val="none" w:sz="0" w:space="0" w:color="auto"/>
        <w:left w:val="none" w:sz="0" w:space="0" w:color="auto"/>
        <w:bottom w:val="none" w:sz="0" w:space="0" w:color="auto"/>
        <w:right w:val="none" w:sz="0" w:space="0" w:color="auto"/>
      </w:divBdr>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10902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nexia 201015</cp:lastModifiedBy>
  <cp:revision>6</cp:revision>
  <cp:lastPrinted>2013-07-10T11:55:00Z</cp:lastPrinted>
  <dcterms:created xsi:type="dcterms:W3CDTF">2015-12-15T15:15:00Z</dcterms:created>
  <dcterms:modified xsi:type="dcterms:W3CDTF">2015-12-16T14:37:00Z</dcterms:modified>
</cp:coreProperties>
</file>